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BC16" w14:textId="77777777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5.01</w:t>
      </w:r>
    </w:p>
    <w:p w14:paraId="044C41A8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Filing notice of a constitutional matter</w:t>
      </w:r>
    </w:p>
    <w:p w14:paraId="7C7F7D34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5.01.1         Where a </w:t>
      </w:r>
      <w:hyperlink r:id="rId4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pending in </w:t>
      </w:r>
      <w:hyperlink r:id="rId5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involves a matter arising under the Constitution or involving its interpretation, within the meaning of section 78B of the </w:t>
      </w:r>
      <w:r w:rsidRPr="0031032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Judiciary Act 1903 </w:t>
      </w: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, the party, intervener, or </w:t>
      </w:r>
      <w:hyperlink r:id="rId6" w:anchor="applican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applicant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to intervene or appear who raises the matter must file a notice of a constitutional matter. </w:t>
      </w:r>
    </w:p>
    <w:p w14:paraId="41F3366A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5.01.2         Notice of a constitutional matter shall state: </w:t>
      </w:r>
    </w:p>
    <w:p w14:paraId="2A7B6A88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                     (a)  </w:t>
      </w:r>
      <w:proofErr w:type="gram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specifically</w:t>
      </w:r>
      <w:proofErr w:type="gram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 the nature of the matter; </w:t>
      </w:r>
    </w:p>
    <w:p w14:paraId="5BB2BE11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(b)  the facts showing that the matter is one to which rule 5.01.1 applies. </w:t>
      </w:r>
    </w:p>
    <w:p w14:paraId="73328A22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5.01.3         The notice of a constitutional matter shall be in Form 1.</w:t>
      </w:r>
    </w:p>
    <w:p w14:paraId="202A8D1A" w14:textId="77777777" w:rsid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</w:p>
    <w:p w14:paraId="479C21A3" w14:textId="77777777" w:rsid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</w:p>
    <w:p w14:paraId="0AF62330" w14:textId="1B73E16F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5.02</w:t>
      </w:r>
    </w:p>
    <w:p w14:paraId="1FB0A655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Serving notice of a constitutional matter</w:t>
      </w:r>
      <w:bookmarkStart w:id="0" w:name="subsection"/>
    </w:p>
    <w:p w14:paraId="56E9BFB4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5.02.1         If the </w:t>
      </w:r>
      <w:hyperlink r:id="rId7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is an </w:t>
      </w:r>
      <w:hyperlink r:id="rId8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, or an </w:t>
      </w:r>
      <w:hyperlink r:id="rId9" w:anchor="application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application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or special leave to </w:t>
      </w:r>
      <w:hyperlink r:id="rId10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referred to an enlarged Court for hearing as if on </w:t>
      </w:r>
      <w:hyperlink r:id="rId11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, the party, intervener, or </w:t>
      </w:r>
      <w:hyperlink r:id="rId12" w:anchor="applican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applicant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to intervene or appear who raises the constitutional matter, or such other party as </w:t>
      </w:r>
      <w:hyperlink r:id="rId13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 may direct, must: </w:t>
      </w:r>
    </w:p>
    <w:p w14:paraId="606C3867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1" w:name="paragraph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(a)  file notice of a constitutional matter; and </w:t>
      </w:r>
    </w:p>
    <w:p w14:paraId="32BCA35B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(b)  serve a copy of the notice on every other party and on the Attorneys-General of the Commonwealth, the States, the Australian Capital Territory and the Northern Territory: </w:t>
      </w:r>
    </w:p>
    <w:p w14:paraId="09D3AF08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2" w:name="paragraphsub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 (</w:t>
      </w:r>
      <w:proofErr w:type="spell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i</w:t>
      </w:r>
      <w:proofErr w:type="spell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)  if the matter arises in the notice of </w:t>
      </w:r>
      <w:hyperlink r:id="rId14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in the argument to be advanced in support of the notice of </w:t>
      </w:r>
      <w:hyperlink r:id="rId15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--within 14 days after the grant of leave or special leave to </w:t>
      </w:r>
      <w:hyperlink r:id="rId16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; or </w:t>
      </w:r>
    </w:p>
    <w:p w14:paraId="18EE78A3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 (ii)  if the matter arises in the </w:t>
      </w:r>
      <w:hyperlink r:id="rId17" w:anchor="application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application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or special leave to </w:t>
      </w:r>
      <w:hyperlink r:id="rId18" w:anchor="appeal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appeal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in the argument to be advanced in support of the </w:t>
      </w:r>
      <w:hyperlink r:id="rId19" w:anchor="application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application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--within 14 days after the </w:t>
      </w:r>
      <w:hyperlink r:id="rId20" w:anchor="application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application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is referred to an enlarged Court; or </w:t>
      </w:r>
    </w:p>
    <w:p w14:paraId="0F96B792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                            (iii)  if the matter arises in a notice of cross-appeal or a notice of contention or in the argument to be advanced in support of the notice--within 7 days after the notice is </w:t>
      </w:r>
      <w:proofErr w:type="gram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filed;</w:t>
      </w:r>
      <w:proofErr w:type="gram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 or </w:t>
      </w:r>
    </w:p>
    <w:p w14:paraId="240D11EA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>                            (iv)  otherwise--within the time that </w:t>
      </w:r>
      <w:hyperlink r:id="rId21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</w:t>
      </w:r>
      <w:hyperlink r:id="rId22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 directs. </w:t>
      </w:r>
    </w:p>
    <w:bookmarkEnd w:id="0"/>
    <w:p w14:paraId="2475087D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5.02.2         If rule 5.02.1 does not apply to the </w:t>
      </w:r>
      <w:hyperlink r:id="rId23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, the party, intervener, or </w:t>
      </w:r>
      <w:hyperlink r:id="rId24" w:anchor="applican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applicant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to intervene or appear who raises the constitutional matter, or such other party as </w:t>
      </w:r>
      <w:hyperlink r:id="rId25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 may direct, must: </w:t>
      </w:r>
    </w:p>
    <w:p w14:paraId="38D36C04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(a)  file notice of a constitutional matter; and </w:t>
      </w:r>
    </w:p>
    <w:bookmarkEnd w:id="1"/>
    <w:p w14:paraId="21E3AFAB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(b)  serve a copy of the notice on every other party and on the Attorneys-General of the Commonwealth, the States, the Australian Capital Territory and the Northern Territory: </w:t>
      </w:r>
    </w:p>
    <w:p w14:paraId="36D70146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   (</w:t>
      </w:r>
      <w:proofErr w:type="spell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i</w:t>
      </w:r>
      <w:proofErr w:type="spell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)  if the matter arises in a pleading or in the argument to be advanced in support of the pleading--within 7 days after the pleading is </w:t>
      </w:r>
      <w:proofErr w:type="gram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delivered;</w:t>
      </w:r>
      <w:proofErr w:type="gram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 or </w:t>
      </w:r>
    </w:p>
    <w:p w14:paraId="71589F36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                             (ii)  if the matter arises in an originating process or in the argument to be advanced in support of the originating process--within 7 days after the originating process is </w:t>
      </w:r>
      <w:proofErr w:type="gram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filed;</w:t>
      </w:r>
      <w:proofErr w:type="gram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 xml:space="preserve"> or </w:t>
      </w:r>
    </w:p>
    <w:p w14:paraId="6FE0D114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 (iii)  if neither subparagraph (</w:t>
      </w:r>
      <w:proofErr w:type="spell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i</w:t>
      </w:r>
      <w:proofErr w:type="spell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) nor (ii) applies, and the matter arises before the day fixed for a hearing of a </w:t>
      </w:r>
      <w:hyperlink r:id="rId26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--not later than 14 days before that day; or </w:t>
      </w:r>
    </w:p>
    <w:bookmarkEnd w:id="2"/>
    <w:p w14:paraId="1EC1CCDA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        (iv)  if neither subparagraph (</w:t>
      </w:r>
      <w:proofErr w:type="spellStart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i</w:t>
      </w:r>
      <w:proofErr w:type="spellEnd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) nor (ii) applies, and the matter arises during the hearing of any </w:t>
      </w:r>
      <w:hyperlink r:id="rId27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before </w:t>
      </w:r>
      <w:hyperlink r:id="rId28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Justice--within such time as </w:t>
      </w:r>
      <w:hyperlink r:id="rId29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 directs. </w:t>
      </w:r>
    </w:p>
    <w:p w14:paraId="0BDC7FEB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</w:p>
    <w:p w14:paraId="5CC53448" w14:textId="74EA3322" w:rsidR="00310325" w:rsidRDefault="00310325"/>
    <w:p w14:paraId="57B8980F" w14:textId="5FAE6944" w:rsidR="00310325" w:rsidRDefault="00310325"/>
    <w:p w14:paraId="7D608576" w14:textId="77777777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5.03</w:t>
      </w:r>
    </w:p>
    <w:p w14:paraId="7AECFAE5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Affidavit of service</w:t>
      </w:r>
    </w:p>
    <w:p w14:paraId="70622D48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5.03.1         The party, intervener, or </w:t>
      </w:r>
      <w:hyperlink r:id="rId30" w:anchor="applican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applicant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to intervene or appear who serves the notice of a constitutional matter must file an affidavit of service of the notice, proving compliance with rule 5.02, within 2 days after service and no later than 2 days before the day fixed for the hearing of the </w:t>
      </w:r>
      <w:hyperlink r:id="rId31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. </w:t>
      </w:r>
    </w:p>
    <w:p w14:paraId="01701A5F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5.03.2         Rule 5.03.1 has effect subject to rule 9.04A.3. </w:t>
      </w:r>
    </w:p>
    <w:p w14:paraId="44B061B0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</w:p>
    <w:p w14:paraId="41092C2C" w14:textId="3DA0791A" w:rsidR="00310325" w:rsidRDefault="00310325"/>
    <w:p w14:paraId="0BAC8321" w14:textId="77777777" w:rsid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</w:p>
    <w:p w14:paraId="56824C9F" w14:textId="77777777" w:rsid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</w:p>
    <w:p w14:paraId="01449B36" w14:textId="742F52A4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lastRenderedPageBreak/>
        <w:t>HIGH COURT RULES 2004 - RULE 5.04</w:t>
      </w:r>
    </w:p>
    <w:p w14:paraId="40031260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Filing and serving notice of intervention</w:t>
      </w:r>
    </w:p>
    <w:p w14:paraId="50E4C9B6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5.04.1         If the Attorney-General of the Commonwealth, of a State, of the Australian Capital Territory or of the Northern Territory intends to intervene in a </w:t>
      </w:r>
      <w:hyperlink r:id="rId32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before </w:t>
      </w:r>
      <w:hyperlink r:id="rId33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under section 78A of the </w:t>
      </w:r>
      <w:r w:rsidRPr="0031032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Judiciary Act 1903 </w:t>
      </w: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, the Attorney-General must, before taking any step in the </w:t>
      </w:r>
      <w:hyperlink r:id="rId34" w:anchor="proceeding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proceeding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: </w:t>
      </w:r>
    </w:p>
    <w:p w14:paraId="741B3271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(a)  file a notice of intervention; and </w:t>
      </w:r>
    </w:p>
    <w:p w14:paraId="526B0565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(b)  serve a copy of the notice on each party and any other intervener. </w:t>
      </w:r>
    </w:p>
    <w:p w14:paraId="6EBAE6B4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5.04.2         The notice of intervention must be in Form 1A. </w:t>
      </w:r>
    </w:p>
    <w:p w14:paraId="133180A1" w14:textId="48696ECC" w:rsid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3" w:name="msoheader"/>
      <w:bookmarkStart w:id="4" w:name="chardivno"/>
      <w:bookmarkEnd w:id="3"/>
      <w:bookmarkEnd w:id="4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</w:t>
      </w:r>
      <w:bookmarkStart w:id="5" w:name="chardivtext"/>
      <w:bookmarkEnd w:id="5"/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0FCC5EE1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FF5F50B" w14:textId="77777777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40.01</w:t>
      </w:r>
    </w:p>
    <w:p w14:paraId="39C67CC1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Interpretation</w:t>
      </w:r>
    </w:p>
    <w:p w14:paraId="0EACBA77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 In Chapter 4 of the Rules, unless the contrary intention appears: </w:t>
      </w:r>
    </w:p>
    <w:p w14:paraId="07AB0EF5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6" w:name="appeal"/>
      <w:bookmarkEnd w:id="6"/>
      <w:r w:rsidRPr="00310325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"intervener </w:t>
      </w: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includes a person intervening and a person seeking leave to intervene or to be heard as </w:t>
      </w:r>
      <w:r w:rsidRPr="0031032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amicus curiae" </w:t>
      </w: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before the Full Court.</w:t>
      </w:r>
    </w:p>
    <w:p w14:paraId="5052A96B" w14:textId="2E609E41" w:rsidR="00310325" w:rsidRDefault="00310325"/>
    <w:p w14:paraId="303F2951" w14:textId="77777777" w:rsidR="00310325" w:rsidRPr="00310325" w:rsidRDefault="00301A54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Times New Roman" w:eastAsia="Times New Roman" w:hAnsi="Times New Roman" w:cs="Times New Roman"/>
          <w:noProof/>
          <w:lang w:eastAsia="en-GB"/>
        </w:rPr>
        <w:pict w14:anchorId="7BA62750">
          <v:rect id="_x0000_i1025" alt="" style="width:451.3pt;height:.05pt;mso-width-percent:0;mso-height-percent:0;mso-width-percent:0;mso-height-percent:0" o:hralign="center" o:hrstd="t" o:hrnoshade="t" o:hr="t" fillcolor="black" stroked="f"/>
        </w:pict>
      </w:r>
    </w:p>
    <w:p w14:paraId="0220C8A5" w14:textId="77777777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42.08A</w:t>
      </w:r>
    </w:p>
    <w:p w14:paraId="3EBE089B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Application for leave to intervene or to be heard as amicus curiae</w:t>
      </w:r>
    </w:p>
    <w:p w14:paraId="1B5CF1AA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 An </w:t>
      </w:r>
      <w:hyperlink r:id="rId35" w:anchor="application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application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for leave to intervene or to be heard as </w:t>
      </w:r>
      <w:r w:rsidRPr="00310325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amicus curiae </w:t>
      </w: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must be made by filing and serving written submissions in accordance with rule 44.04. </w:t>
      </w:r>
    </w:p>
    <w:p w14:paraId="57AFB896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</w:p>
    <w:p w14:paraId="4BA3E626" w14:textId="3C6D376C" w:rsidR="00310325" w:rsidRDefault="00310325"/>
    <w:p w14:paraId="68CF176D" w14:textId="77777777" w:rsidR="00310325" w:rsidRPr="00310325" w:rsidRDefault="00310325" w:rsidP="00310325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HIGH COURT RULES 2004 - RULE 44.04</w:t>
      </w:r>
    </w:p>
    <w:p w14:paraId="6BC2A52F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  <w:r w:rsidRPr="0031032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Written submissions--interveners</w:t>
      </w:r>
    </w:p>
    <w:p w14:paraId="2547EE31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44.04.1       Unless otherwise directed by </w:t>
      </w:r>
      <w:hyperlink r:id="rId36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 an intervener must: </w:t>
      </w:r>
    </w:p>
    <w:p w14:paraId="538999DA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                    (a)  file its written submissions, not exceeding 20 pages; and </w:t>
      </w:r>
    </w:p>
    <w:p w14:paraId="60E0280B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>                     (b)  serve the written submissions on each party and any other intervener. </w:t>
      </w:r>
    </w:p>
    <w:p w14:paraId="126D24C3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44.04.2       Unless otherwise directed by </w:t>
      </w:r>
      <w:hyperlink r:id="rId37" w:anchor="the_cour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the Court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 or a Justice, an intervener must file and serve its written submissions within 14 days after written submissions by the party in support of whom the intervention is to be made are filed. </w:t>
      </w:r>
    </w:p>
    <w:p w14:paraId="0027FC80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44.04.3       An intervener who intervenes in support of more than 1 party or without supporting any party must file and serve its written submissions within 14 days after the </w:t>
      </w:r>
      <w:hyperlink r:id="rId38" w:anchor="respondent" w:history="1">
        <w:r w:rsidRPr="00310325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respondent</w:t>
        </w:r>
      </w:hyperlink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's written submissions are filed. </w:t>
      </w:r>
    </w:p>
    <w:p w14:paraId="190E5BB2" w14:textId="77777777" w:rsidR="00310325" w:rsidRPr="00310325" w:rsidRDefault="00310325" w:rsidP="00310325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10325">
        <w:rPr>
          <w:rFonts w:ascii="-webkit-standard" w:eastAsia="Times New Roman" w:hAnsi="-webkit-standard" w:cs="Times New Roman"/>
          <w:color w:val="000000"/>
          <w:lang w:eastAsia="en-GB"/>
        </w:rPr>
        <w:t>44.04.4       An intervener's written submissions must be in Form 27C. </w:t>
      </w:r>
    </w:p>
    <w:p w14:paraId="56E0810C" w14:textId="77777777" w:rsidR="00310325" w:rsidRPr="00310325" w:rsidRDefault="00310325" w:rsidP="00310325">
      <w:pPr>
        <w:rPr>
          <w:rFonts w:ascii="Times New Roman" w:eastAsia="Times New Roman" w:hAnsi="Times New Roman" w:cs="Times New Roman"/>
          <w:lang w:eastAsia="en-GB"/>
        </w:rPr>
      </w:pPr>
    </w:p>
    <w:p w14:paraId="44F40353" w14:textId="77777777" w:rsidR="00310325" w:rsidRDefault="00310325"/>
    <w:sectPr w:rsidR="0031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25"/>
    <w:rsid w:val="00301A54"/>
    <w:rsid w:val="003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844E"/>
  <w15:chartTrackingRefBased/>
  <w15:docId w15:val="{BB790FDE-A328-B149-A43C-9E97B6D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03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03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ubsection">
    <w:name w:val="subsection"/>
    <w:basedOn w:val="Normal"/>
    <w:rsid w:val="00310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10325"/>
  </w:style>
  <w:style w:type="character" w:styleId="Hyperlink">
    <w:name w:val="Hyperlink"/>
    <w:basedOn w:val="DefaultParagraphFont"/>
    <w:uiPriority w:val="99"/>
    <w:semiHidden/>
    <w:unhideWhenUsed/>
    <w:rsid w:val="00310325"/>
    <w:rPr>
      <w:color w:val="0000FF"/>
      <w:u w:val="single"/>
    </w:rPr>
  </w:style>
  <w:style w:type="paragraph" w:customStyle="1" w:styleId="paragraph">
    <w:name w:val="paragraph"/>
    <w:basedOn w:val="Normal"/>
    <w:rsid w:val="00310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sub">
    <w:name w:val="paragraphsub"/>
    <w:basedOn w:val="Normal"/>
    <w:rsid w:val="00310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10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0325"/>
    <w:rPr>
      <w:rFonts w:ascii="Times New Roman" w:eastAsia="Times New Roman" w:hAnsi="Times New Roman" w:cs="Times New Roman"/>
      <w:lang w:eastAsia="en-GB"/>
    </w:rPr>
  </w:style>
  <w:style w:type="character" w:customStyle="1" w:styleId="chardivno">
    <w:name w:val="chardivno"/>
    <w:basedOn w:val="DefaultParagraphFont"/>
    <w:rsid w:val="00310325"/>
  </w:style>
  <w:style w:type="character" w:customStyle="1" w:styleId="chardivtext">
    <w:name w:val="chardivtext"/>
    <w:basedOn w:val="DefaultParagraphFont"/>
    <w:rsid w:val="00310325"/>
  </w:style>
  <w:style w:type="paragraph" w:customStyle="1" w:styleId="definition">
    <w:name w:val="definition"/>
    <w:basedOn w:val="Normal"/>
    <w:rsid w:val="003103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.austlii.edu.au/au/legis/cth/consol_reg/hcr2004170/s1.06.html" TargetMode="External"/><Relationship Id="rId18" Type="http://schemas.openxmlformats.org/officeDocument/2006/relationships/hyperlink" Target="http://classic.austlii.edu.au/au/legis/cth/consol_reg/hcr2004170/s40.01.html" TargetMode="External"/><Relationship Id="rId26" Type="http://schemas.openxmlformats.org/officeDocument/2006/relationships/hyperlink" Target="http://classic.austlii.edu.au/au/legis/cth/consol_reg/hcr2004170/s1.06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classic.austlii.edu.au/au/legis/cth/consol_reg/hcr2004170/s1.06.html" TargetMode="External"/><Relationship Id="rId34" Type="http://schemas.openxmlformats.org/officeDocument/2006/relationships/hyperlink" Target="http://classic.austlii.edu.au/au/legis/cth/consol_reg/hcr2004170/s1.06.html" TargetMode="External"/><Relationship Id="rId7" Type="http://schemas.openxmlformats.org/officeDocument/2006/relationships/hyperlink" Target="http://classic.austlii.edu.au/au/legis/cth/consol_reg/hcr2004170/s1.06.html" TargetMode="External"/><Relationship Id="rId12" Type="http://schemas.openxmlformats.org/officeDocument/2006/relationships/hyperlink" Target="http://classic.austlii.edu.au/au/legis/cth/consol_reg/hcr2004170/s40.01.html" TargetMode="External"/><Relationship Id="rId17" Type="http://schemas.openxmlformats.org/officeDocument/2006/relationships/hyperlink" Target="http://classic.austlii.edu.au/au/legis/cth/consol_reg/hcr2004170/s40.01.html" TargetMode="External"/><Relationship Id="rId25" Type="http://schemas.openxmlformats.org/officeDocument/2006/relationships/hyperlink" Target="http://classic.austlii.edu.au/au/legis/cth/consol_reg/hcr2004170/s1.06.html" TargetMode="External"/><Relationship Id="rId33" Type="http://schemas.openxmlformats.org/officeDocument/2006/relationships/hyperlink" Target="http://classic.austlii.edu.au/au/legis/cth/consol_reg/hcr2004170/s1.06.html" TargetMode="External"/><Relationship Id="rId38" Type="http://schemas.openxmlformats.org/officeDocument/2006/relationships/hyperlink" Target="http://classic.austlii.edu.au/au/legis/cth/consol_reg/hcr2004170/s44.0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assic.austlii.edu.au/au/legis/cth/consol_reg/hcr2004170/s40.01.html" TargetMode="External"/><Relationship Id="rId20" Type="http://schemas.openxmlformats.org/officeDocument/2006/relationships/hyperlink" Target="http://classic.austlii.edu.au/au/legis/cth/consol_reg/hcr2004170/s40.01.html" TargetMode="External"/><Relationship Id="rId29" Type="http://schemas.openxmlformats.org/officeDocument/2006/relationships/hyperlink" Target="http://classic.austlii.edu.au/au/legis/cth/consol_reg/hcr2004170/s1.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ic.austlii.edu.au/au/legis/cth/consol_reg/hcr2004170/s40.01.html" TargetMode="External"/><Relationship Id="rId11" Type="http://schemas.openxmlformats.org/officeDocument/2006/relationships/hyperlink" Target="http://classic.austlii.edu.au/au/legis/cth/consol_reg/hcr2004170/s40.01.html" TargetMode="External"/><Relationship Id="rId24" Type="http://schemas.openxmlformats.org/officeDocument/2006/relationships/hyperlink" Target="http://classic.austlii.edu.au/au/legis/cth/consol_reg/hcr2004170/s40.01.html" TargetMode="External"/><Relationship Id="rId32" Type="http://schemas.openxmlformats.org/officeDocument/2006/relationships/hyperlink" Target="http://classic.austlii.edu.au/au/legis/cth/consol_reg/hcr2004170/s1.06.html" TargetMode="External"/><Relationship Id="rId37" Type="http://schemas.openxmlformats.org/officeDocument/2006/relationships/hyperlink" Target="http://classic.austlii.edu.au/au/legis/cth/consol_reg/hcr2004170/s1.06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classic.austlii.edu.au/au/legis/cth/consol_reg/hcr2004170/s1.06.html" TargetMode="External"/><Relationship Id="rId15" Type="http://schemas.openxmlformats.org/officeDocument/2006/relationships/hyperlink" Target="http://classic.austlii.edu.au/au/legis/cth/consol_reg/hcr2004170/s40.01.html" TargetMode="External"/><Relationship Id="rId23" Type="http://schemas.openxmlformats.org/officeDocument/2006/relationships/hyperlink" Target="http://classic.austlii.edu.au/au/legis/cth/consol_reg/hcr2004170/s1.06.html" TargetMode="External"/><Relationship Id="rId28" Type="http://schemas.openxmlformats.org/officeDocument/2006/relationships/hyperlink" Target="http://classic.austlii.edu.au/au/legis/cth/consol_reg/hcr2004170/s1.06.html" TargetMode="External"/><Relationship Id="rId36" Type="http://schemas.openxmlformats.org/officeDocument/2006/relationships/hyperlink" Target="http://classic.austlii.edu.au/au/legis/cth/consol_reg/hcr2004170/s1.06.html" TargetMode="External"/><Relationship Id="rId10" Type="http://schemas.openxmlformats.org/officeDocument/2006/relationships/hyperlink" Target="http://classic.austlii.edu.au/au/legis/cth/consol_reg/hcr2004170/s40.01.html" TargetMode="External"/><Relationship Id="rId19" Type="http://schemas.openxmlformats.org/officeDocument/2006/relationships/hyperlink" Target="http://classic.austlii.edu.au/au/legis/cth/consol_reg/hcr2004170/s40.01.html" TargetMode="External"/><Relationship Id="rId31" Type="http://schemas.openxmlformats.org/officeDocument/2006/relationships/hyperlink" Target="http://classic.austlii.edu.au/au/legis/cth/consol_reg/hcr2004170/s1.06.html" TargetMode="External"/><Relationship Id="rId4" Type="http://schemas.openxmlformats.org/officeDocument/2006/relationships/hyperlink" Target="http://classic.austlii.edu.au/au/legis/cth/consol_reg/hcr2004170/s1.06.html" TargetMode="External"/><Relationship Id="rId9" Type="http://schemas.openxmlformats.org/officeDocument/2006/relationships/hyperlink" Target="http://classic.austlii.edu.au/au/legis/cth/consol_reg/hcr2004170/s40.01.html" TargetMode="External"/><Relationship Id="rId14" Type="http://schemas.openxmlformats.org/officeDocument/2006/relationships/hyperlink" Target="http://classic.austlii.edu.au/au/legis/cth/consol_reg/hcr2004170/s40.01.html" TargetMode="External"/><Relationship Id="rId22" Type="http://schemas.openxmlformats.org/officeDocument/2006/relationships/hyperlink" Target="http://classic.austlii.edu.au/au/legis/cth/consol_reg/hcr2004170/s1.06.html" TargetMode="External"/><Relationship Id="rId27" Type="http://schemas.openxmlformats.org/officeDocument/2006/relationships/hyperlink" Target="http://classic.austlii.edu.au/au/legis/cth/consol_reg/hcr2004170/s1.06.html" TargetMode="External"/><Relationship Id="rId30" Type="http://schemas.openxmlformats.org/officeDocument/2006/relationships/hyperlink" Target="http://classic.austlii.edu.au/au/legis/cth/consol_reg/hcr2004170/s40.01.html" TargetMode="External"/><Relationship Id="rId35" Type="http://schemas.openxmlformats.org/officeDocument/2006/relationships/hyperlink" Target="http://classic.austlii.edu.au/au/legis/cth/consol_reg/hcr2004170/s40.01.html" TargetMode="External"/><Relationship Id="rId8" Type="http://schemas.openxmlformats.org/officeDocument/2006/relationships/hyperlink" Target="http://classic.austlii.edu.au/au/legis/cth/consol_reg/hcr2004170/s40.0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Dickson | Great Australian Party</dc:creator>
  <cp:keywords/>
  <dc:description/>
  <cp:lastModifiedBy>Darren Dickson | Great Australian Party</cp:lastModifiedBy>
  <cp:revision>1</cp:revision>
  <dcterms:created xsi:type="dcterms:W3CDTF">2021-08-31T03:30:00Z</dcterms:created>
  <dcterms:modified xsi:type="dcterms:W3CDTF">2021-08-31T03:34:00Z</dcterms:modified>
</cp:coreProperties>
</file>